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54A95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导师简介</w:t>
      </w:r>
    </w:p>
    <w:tbl>
      <w:tblPr>
        <w:tblStyle w:val="7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2"/>
        <w:gridCol w:w="1423"/>
        <w:gridCol w:w="1776"/>
        <w:gridCol w:w="1451"/>
        <w:gridCol w:w="1938"/>
      </w:tblGrid>
      <w:tr w14:paraId="12419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drawing>
                <wp:inline distT="0" distB="0" distL="114300" distR="114300">
                  <wp:extent cx="1101090" cy="1584325"/>
                  <wp:effectExtent l="0" t="0" r="11430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1090" cy="158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姓名</w:t>
            </w:r>
          </w:p>
        </w:tc>
        <w:tc>
          <w:tcPr>
            <w:tcW w:w="1776" w:type="dxa"/>
            <w:vAlign w:val="center"/>
          </w:tcPr>
          <w:p w14:paraId="2701AEAD"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李兵</w:t>
            </w:r>
          </w:p>
        </w:tc>
        <w:tc>
          <w:tcPr>
            <w:tcW w:w="1451" w:type="dxa"/>
            <w:vAlign w:val="center"/>
          </w:tcPr>
          <w:p w14:paraId="0696E889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性别</w:t>
            </w:r>
          </w:p>
        </w:tc>
        <w:tc>
          <w:tcPr>
            <w:tcW w:w="1938" w:type="dxa"/>
            <w:vAlign w:val="center"/>
          </w:tcPr>
          <w:p w14:paraId="66638065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男</w:t>
            </w:r>
          </w:p>
        </w:tc>
      </w:tr>
      <w:tr w14:paraId="0E5F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69647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学位</w:t>
            </w:r>
          </w:p>
        </w:tc>
        <w:tc>
          <w:tcPr>
            <w:tcW w:w="1776" w:type="dxa"/>
            <w:vAlign w:val="center"/>
          </w:tcPr>
          <w:p w14:paraId="34E0D643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研究生</w:t>
            </w:r>
          </w:p>
        </w:tc>
        <w:tc>
          <w:tcPr>
            <w:tcW w:w="1451" w:type="dxa"/>
            <w:vAlign w:val="center"/>
          </w:tcPr>
          <w:p w14:paraId="30888BA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职称</w:t>
            </w:r>
          </w:p>
        </w:tc>
        <w:tc>
          <w:tcPr>
            <w:tcW w:w="1938" w:type="dxa"/>
            <w:vAlign w:val="center"/>
          </w:tcPr>
          <w:p w14:paraId="01615750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副研究员</w:t>
            </w:r>
          </w:p>
        </w:tc>
      </w:tr>
      <w:tr w14:paraId="46AAA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BC0977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导师类别</w:t>
            </w:r>
          </w:p>
        </w:tc>
        <w:tc>
          <w:tcPr>
            <w:tcW w:w="1776" w:type="dxa"/>
            <w:vAlign w:val="center"/>
          </w:tcPr>
          <w:p w14:paraId="6DB472EF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硕士生导师</w:t>
            </w:r>
          </w:p>
        </w:tc>
        <w:tc>
          <w:tcPr>
            <w:tcW w:w="1451" w:type="dxa"/>
            <w:vAlign w:val="center"/>
          </w:tcPr>
          <w:p w14:paraId="3EAA3E66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所属部门</w:t>
            </w:r>
          </w:p>
        </w:tc>
        <w:tc>
          <w:tcPr>
            <w:tcW w:w="1938" w:type="dxa"/>
            <w:vAlign w:val="center"/>
          </w:tcPr>
          <w:p w14:paraId="2428A766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本草数智中心</w:t>
            </w:r>
          </w:p>
        </w:tc>
      </w:tr>
      <w:tr w14:paraId="0DF19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1CCCF3D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研究方向</w:t>
            </w:r>
          </w:p>
        </w:tc>
        <w:tc>
          <w:tcPr>
            <w:tcW w:w="1776" w:type="dxa"/>
            <w:vAlign w:val="center"/>
          </w:tcPr>
          <w:p w14:paraId="04098147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中医药数智化/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中药药理学</w:t>
            </w:r>
          </w:p>
        </w:tc>
        <w:tc>
          <w:tcPr>
            <w:tcW w:w="1451" w:type="dxa"/>
            <w:vAlign w:val="center"/>
          </w:tcPr>
          <w:p w14:paraId="7BB142F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电子邮箱</w:t>
            </w:r>
          </w:p>
        </w:tc>
        <w:tc>
          <w:tcPr>
            <w:tcW w:w="1938" w:type="dxa"/>
            <w:vAlign w:val="center"/>
          </w:tcPr>
          <w:p w14:paraId="5A627364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bli@icmm.ac.cn</w:t>
            </w:r>
          </w:p>
        </w:tc>
      </w:tr>
      <w:tr w14:paraId="2796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2" w:hRule="atLeast"/>
          <w:jc w:val="center"/>
        </w:trPr>
        <w:tc>
          <w:tcPr>
            <w:tcW w:w="2252" w:type="dxa"/>
            <w:vAlign w:val="center"/>
          </w:tcPr>
          <w:p w14:paraId="7449F008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导师简介</w:t>
            </w:r>
          </w:p>
          <w:p w14:paraId="08CB506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0395DEF5">
            <w:pPr>
              <w:spacing w:line="400" w:lineRule="exact"/>
              <w:ind w:firstLine="360" w:firstLineChars="150"/>
              <w:rPr>
                <w:rFonts w:hint="eastAsia"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新宋体" w:cs="Times New Roman"/>
                <w:sz w:val="24"/>
                <w:szCs w:val="24"/>
              </w:rPr>
              <w:t>中医学博士，中西医结合博士后，中国中医科学院中药研究所本草数智中心副主任</w:t>
            </w:r>
            <w:r>
              <w:rPr>
                <w:rFonts w:hint="eastAsia" w:ascii="Times New Roman" w:hAnsi="Times New Roman" w:eastAsia="新宋体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新宋体" w:cs="Times New Roman"/>
                <w:sz w:val="24"/>
                <w:szCs w:val="24"/>
              </w:rPr>
              <w:t>全国中医药创新骨干人才，第六批全国中医临床优秀人才，国家中医药管理局高水平重点学科本草学后备学科带头人。兼任世界中医药学会联合会临床数据监查与决策专业委员会、网络药理学专业委员会常务理事；中国中医药信息学会中医药信息数字化分会常务理事；中国药学会方剂组学专业委员会会员。</w:t>
            </w:r>
            <w:r>
              <w:rPr>
                <w:rFonts w:ascii="Times New Roman" w:hAnsi="Times New Roman" w:eastAsia="新宋体" w:cs="Times New Roman"/>
                <w:sz w:val="24"/>
                <w:szCs w:val="24"/>
              </w:rPr>
              <w:t>主要从事</w:t>
            </w:r>
            <w:r>
              <w:rPr>
                <w:rFonts w:hint="eastAsia" w:ascii="Times New Roman" w:hAnsi="Times New Roman" w:eastAsia="新宋体" w:cs="Times New Roman"/>
                <w:sz w:val="24"/>
                <w:szCs w:val="24"/>
              </w:rPr>
              <w:t>中医药信息与数智化</w:t>
            </w:r>
            <w:r>
              <w:rPr>
                <w:rFonts w:hint="eastAsia" w:ascii="Times New Roman" w:hAnsi="Times New Roman" w:eastAsia="新宋体" w:cs="Times New Roman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新宋体" w:cs="Times New Roman"/>
                <w:sz w:val="24"/>
                <w:szCs w:val="24"/>
              </w:rPr>
              <w:t>经典名方及中药组方配伍机制</w:t>
            </w:r>
            <w:r>
              <w:rPr>
                <w:rFonts w:hint="eastAsia" w:ascii="Times New Roman" w:hAnsi="Times New Roman" w:eastAsia="新宋体" w:cs="Times New Roman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新宋体" w:cs="Times New Roman"/>
                <w:sz w:val="24"/>
                <w:szCs w:val="24"/>
              </w:rPr>
              <w:t>基于方剂组学与模块药理学的复方作用机制解析</w:t>
            </w:r>
            <w:r>
              <w:rPr>
                <w:rFonts w:ascii="Times New Roman" w:hAnsi="Times New Roman" w:eastAsia="新宋体" w:cs="Times New Roman"/>
                <w:sz w:val="24"/>
                <w:szCs w:val="24"/>
              </w:rPr>
              <w:t>等相关研究工作。</w:t>
            </w:r>
            <w:r>
              <w:rPr>
                <w:rFonts w:hint="eastAsia" w:ascii="Times New Roman" w:hAnsi="Times New Roman" w:eastAsia="新宋体" w:cs="Times New Roman"/>
                <w:sz w:val="24"/>
                <w:szCs w:val="24"/>
              </w:rPr>
              <w:t>主持国家重点研发计划“中医药现代化”专项课题、国家自然科学基金等部局级以上课题10余项，在Briefings in Bioinformatics，MTNA，EBioMedicine，Clinical and translational medicine, Journal of Ethnopharmacology等国内外期刊发表论文200余篇，参编著作15部，获授权发明专利5项、软件著作权20余项，获中国中西医结合学会科学技术奖一等奖1项，中华中医药学会科学技术奖二等奖、华佗中医药奖各1项、中国中医科学院科技进步一、二等奖各1项。</w:t>
            </w:r>
            <w:bookmarkStart w:id="0" w:name="_GoBack"/>
            <w:bookmarkEnd w:id="0"/>
          </w:p>
        </w:tc>
      </w:tr>
    </w:tbl>
    <w:p w14:paraId="5448F41D">
      <w:pPr>
        <w:spacing w:line="14" w:lineRule="exact"/>
        <w:rPr>
          <w:rFonts w:asciiTheme="majorEastAsia" w:hAnsiTheme="majorEastAsia" w:eastAsiaTheme="major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 w14:paraId="60D245DA">
      <w:pPr>
        <w:rPr>
          <w:rFonts w:asciiTheme="majorEastAsia" w:hAnsiTheme="majorEastAsia" w:eastAsiaTheme="majorEastAsia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  <w:rsid w:val="3714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1</Lines>
  <Paragraphs>1</Paragraphs>
  <TotalTime>0</TotalTime>
  <ScaleCrop>false</ScaleCrop>
  <LinksUpToDate>false</LinksUpToDate>
  <CharactersWithSpaces>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2022-02-07T06:58:00Z</dcterms:created>
  <dc:creator>lenovo</dc:creator>
  <cp:lastModifiedBy>libing</cp:lastModifiedBy>
  <cp:lastPrinted>2018-10-24T12:59:00Z</cp:lastPrinted>
  <dcterms:modified xsi:type="dcterms:W3CDTF">2026-01-20T08:27:21Z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eyJoZGlkIjoiODU0MmQ3MmUyYzhiMDNlMjhmOGIzYmEwZDRiOTcyMjgiLCJ1c2VySWQiOiI3OTUzNjIxNTMifQ==</vt:lpwstr>
  </property>
  <property fmtid="{D5CDD505-2E9C-101B-9397-08002B2CF9AE}" pid="3" name="KSOProductBuildVer">
    <vt:lpwstr>2052-12.1.0.24657</vt:lpwstr>
  </property>
  <property fmtid="{D5CDD505-2E9C-101B-9397-08002B2CF9AE}" pid="4" name="ICV">
    <vt:lpwstr>6C37D8847A14483FB0B662FA04F9B260_13</vt:lpwstr>
  </property>
</Properties>
</file>